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D3B0"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2950AB">
        <w:rPr>
          <w:rFonts w:ascii="Goudy Old Style" w:hAnsi="Goudy Old Style" w:cs="Times New Roman"/>
        </w:rPr>
        <w:t>open to the public on January</w:t>
      </w:r>
      <w:r w:rsidR="005A1645">
        <w:rPr>
          <w:rFonts w:ascii="Goudy Old Style" w:hAnsi="Goudy Old Style" w:cs="Times New Roman"/>
        </w:rPr>
        <w:t xml:space="preserve"> </w:t>
      </w:r>
      <w:r w:rsidR="002950AB">
        <w:rPr>
          <w:rFonts w:ascii="Goudy Old Style" w:hAnsi="Goudy Old Style" w:cs="Times New Roman"/>
        </w:rPr>
        <w:t>1</w:t>
      </w:r>
      <w:r w:rsidR="005A1645">
        <w:rPr>
          <w:rFonts w:ascii="Goudy Old Style" w:hAnsi="Goudy Old Style" w:cs="Times New Roman"/>
        </w:rPr>
        <w:t>3</w:t>
      </w:r>
      <w:r w:rsidR="00F83C83" w:rsidRPr="00DF1AE6">
        <w:rPr>
          <w:rFonts w:ascii="Goudy Old Style" w:hAnsi="Goudy Old Style" w:cs="Times New Roman"/>
        </w:rPr>
        <w:t>,</w:t>
      </w:r>
      <w:r w:rsidR="009B2CF8">
        <w:rPr>
          <w:rFonts w:ascii="Goudy Old Style" w:hAnsi="Goudy Old Style" w:cs="Times New Roman"/>
        </w:rPr>
        <w:t xml:space="preserve"> </w:t>
      </w:r>
      <w:r w:rsidR="002950AB">
        <w:rPr>
          <w:rFonts w:ascii="Goudy Old Style" w:hAnsi="Goudy Old Style" w:cs="Times New Roman"/>
        </w:rPr>
        <w:t>2025, at 11:00A</w:t>
      </w:r>
      <w:r w:rsidRPr="00DF1AE6">
        <w:rPr>
          <w:rFonts w:ascii="Goudy Old Style" w:hAnsi="Goudy Old Style" w:cs="Times New Roman"/>
        </w:rPr>
        <w:t>M at the District Office Building, 12081 Lakeview Manor Drive, Willis, Texas. Montgomery County, Texas within the District. The subject of and matters to be considered and acted upon at said meeting will include the following:</w:t>
      </w:r>
    </w:p>
    <w:p w14:paraId="3165BE3C"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273FDF96"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2950AB">
        <w:rPr>
          <w:rFonts w:ascii="Goudy Old Style" w:hAnsi="Goudy Old Style" w:cs="Times New Roman"/>
        </w:rPr>
        <w:t>: December 3, 2024 and December 23, 2024</w:t>
      </w:r>
      <w:r w:rsidR="00254A79" w:rsidRPr="00DF1AE6">
        <w:rPr>
          <w:rFonts w:ascii="Goudy Old Style" w:hAnsi="Goudy Old Style" w:cs="Times New Roman"/>
        </w:rPr>
        <w:t>.</w:t>
      </w:r>
    </w:p>
    <w:p w14:paraId="58714486"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0C5EAA04" w14:textId="77777777" w:rsidR="000D6440" w:rsidRPr="005A1645"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p>
    <w:p w14:paraId="26AD0D0F" w14:textId="77777777" w:rsidR="005A1645" w:rsidRPr="007A7D7A" w:rsidRDefault="002950AB"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Leak repair invoice approval </w:t>
      </w:r>
    </w:p>
    <w:p w14:paraId="57DAB55D"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7C6CA479" w14:textId="77777777" w:rsidR="00487CF2" w:rsidRPr="005A1645"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14:paraId="6EEEA12D" w14:textId="53BB90AA" w:rsidR="005A1645" w:rsidRPr="002950AB" w:rsidRDefault="002950AB"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Contract </w:t>
      </w:r>
      <w:r w:rsidR="001E4CA0">
        <w:rPr>
          <w:rFonts w:ascii="Goudy Old Style" w:hAnsi="Goudy Old Style" w:cs="Times New Roman"/>
        </w:rPr>
        <w:t>Consultant</w:t>
      </w:r>
      <w:r>
        <w:rPr>
          <w:rFonts w:ascii="Goudy Old Style" w:hAnsi="Goudy Old Style" w:cs="Times New Roman"/>
        </w:rPr>
        <w:t xml:space="preserve"> Pay Evaluation </w:t>
      </w:r>
    </w:p>
    <w:p w14:paraId="53AA38DA" w14:textId="77777777" w:rsidR="002950AB" w:rsidRPr="002950AB" w:rsidRDefault="002950AB"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Audit update</w:t>
      </w:r>
    </w:p>
    <w:p w14:paraId="4453E6A0" w14:textId="77777777" w:rsidR="002950AB" w:rsidRPr="002950AB" w:rsidRDefault="002950AB"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1099 update </w:t>
      </w:r>
    </w:p>
    <w:p w14:paraId="61C36363" w14:textId="709A6092" w:rsidR="002950AB" w:rsidRPr="005A1645" w:rsidRDefault="002950AB"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Bank </w:t>
      </w:r>
      <w:r w:rsidR="001E4CA0">
        <w:rPr>
          <w:rFonts w:ascii="Goudy Old Style" w:hAnsi="Goudy Old Style" w:cs="Times New Roman"/>
        </w:rPr>
        <w:t>A</w:t>
      </w:r>
      <w:r>
        <w:rPr>
          <w:rFonts w:ascii="Goudy Old Style" w:hAnsi="Goudy Old Style" w:cs="Times New Roman"/>
        </w:rPr>
        <w:t xml:space="preserve">ccount </w:t>
      </w:r>
      <w:r w:rsidR="001E4CA0">
        <w:rPr>
          <w:rFonts w:ascii="Goudy Old Style" w:hAnsi="Goudy Old Style" w:cs="Times New Roman"/>
        </w:rPr>
        <w:t>U</w:t>
      </w:r>
      <w:r>
        <w:rPr>
          <w:rFonts w:ascii="Goudy Old Style" w:hAnsi="Goudy Old Style" w:cs="Times New Roman"/>
        </w:rPr>
        <w:t xml:space="preserve">pdate </w:t>
      </w:r>
    </w:p>
    <w:p w14:paraId="1FC8AFF3" w14:textId="77777777" w:rsidR="00D06FCF" w:rsidRPr="003A4237"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7112AEBA"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19F004E2" w14:textId="5EE64E53" w:rsidR="001E4CA0" w:rsidRPr="001E4CA0" w:rsidRDefault="001E4CA0" w:rsidP="001E4CA0">
      <w:pPr>
        <w:pStyle w:val="ListParagraph"/>
        <w:numPr>
          <w:ilvl w:val="1"/>
          <w:numId w:val="1"/>
        </w:numPr>
        <w:spacing w:after="0" w:line="240" w:lineRule="auto"/>
        <w:jc w:val="both"/>
        <w:rPr>
          <w:rFonts w:ascii="Goudy Old Style" w:hAnsi="Goudy Old Style" w:cs="Times New Roman"/>
        </w:rPr>
      </w:pPr>
      <w:r w:rsidRPr="001E4CA0">
        <w:rPr>
          <w:rFonts w:ascii="Goudy Old Style" w:hAnsi="Goudy Old Style" w:cs="Times New Roman"/>
        </w:rPr>
        <w:t>Adopt Order Establishing Tax Exemptions</w:t>
      </w:r>
    </w:p>
    <w:p w14:paraId="7298AE4F" w14:textId="76FF5312" w:rsidR="001E4CA0" w:rsidRPr="001E4CA0" w:rsidRDefault="001E4CA0" w:rsidP="001E4CA0">
      <w:pPr>
        <w:pStyle w:val="ListParagraph"/>
        <w:numPr>
          <w:ilvl w:val="1"/>
          <w:numId w:val="1"/>
        </w:numPr>
        <w:spacing w:after="0" w:line="240" w:lineRule="auto"/>
        <w:jc w:val="both"/>
        <w:rPr>
          <w:rFonts w:ascii="Goudy Old Style" w:hAnsi="Goudy Old Style" w:cs="Times New Roman"/>
        </w:rPr>
      </w:pPr>
      <w:r w:rsidRPr="001E4CA0">
        <w:rPr>
          <w:rFonts w:ascii="Goudy Old Style" w:hAnsi="Goudy Old Style" w:cs="Times New Roman"/>
        </w:rPr>
        <w:t xml:space="preserve">Resolution Authorizing Additional Penalty on Delinquent Personal </w:t>
      </w:r>
      <w:r>
        <w:rPr>
          <w:rFonts w:ascii="Goudy Old Style" w:hAnsi="Goudy Old Style" w:cs="Times New Roman"/>
        </w:rPr>
        <w:t>P</w:t>
      </w:r>
      <w:r w:rsidRPr="001E4CA0">
        <w:rPr>
          <w:rFonts w:ascii="Goudy Old Style" w:hAnsi="Goudy Old Style" w:cs="Times New Roman"/>
        </w:rPr>
        <w:t>roperty Taxes</w:t>
      </w:r>
    </w:p>
    <w:p w14:paraId="4315D25D" w14:textId="2F9D132D" w:rsidR="001E4CA0" w:rsidRPr="001E4CA0" w:rsidRDefault="001E4CA0" w:rsidP="001E4CA0">
      <w:pPr>
        <w:pStyle w:val="ListParagraph"/>
        <w:numPr>
          <w:ilvl w:val="0"/>
          <w:numId w:val="1"/>
        </w:numPr>
        <w:spacing w:after="0" w:line="240" w:lineRule="auto"/>
        <w:jc w:val="both"/>
        <w:rPr>
          <w:rFonts w:ascii="Goudy Old Style" w:hAnsi="Goudy Old Style" w:cs="Times New Roman"/>
          <w:sz w:val="24"/>
          <w:szCs w:val="24"/>
          <w:u w:val="single"/>
        </w:rPr>
      </w:pPr>
      <w:r w:rsidRPr="001E4CA0">
        <w:rPr>
          <w:rFonts w:ascii="Goudy Old Style" w:hAnsi="Goudy Old Style" w:cs="Times New Roman"/>
          <w:sz w:val="24"/>
          <w:szCs w:val="24"/>
          <w:u w:val="single"/>
        </w:rPr>
        <w:t>Update on Series 2025 Bonds, including</w:t>
      </w:r>
    </w:p>
    <w:p w14:paraId="71D4C178" w14:textId="4879D86C" w:rsidR="001E4CA0" w:rsidRPr="001E4CA0" w:rsidRDefault="001E4CA0" w:rsidP="000568A5">
      <w:pPr>
        <w:pStyle w:val="ListParagraph"/>
        <w:widowControl w:val="0"/>
        <w:numPr>
          <w:ilvl w:val="1"/>
          <w:numId w:val="1"/>
        </w:numPr>
        <w:tabs>
          <w:tab w:val="left" w:pos="1549"/>
          <w:tab w:val="left" w:pos="1551"/>
        </w:tabs>
        <w:autoSpaceDE w:val="0"/>
        <w:autoSpaceDN w:val="0"/>
        <w:spacing w:after="0" w:line="240" w:lineRule="auto"/>
        <w:contextualSpacing w:val="0"/>
        <w:jc w:val="both"/>
        <w:rPr>
          <w:rFonts w:ascii="Goudy Old Style" w:hAnsi="Goudy Old Style"/>
          <w:bCs/>
          <w:sz w:val="24"/>
          <w:szCs w:val="24"/>
        </w:rPr>
      </w:pPr>
      <w:r w:rsidRPr="001E4CA0">
        <w:rPr>
          <w:rFonts w:ascii="Goudy Old Style" w:hAnsi="Goudy Old Style"/>
          <w:bCs/>
          <w:sz w:val="24"/>
          <w:szCs w:val="24"/>
        </w:rPr>
        <w:t>Continuing disclosure on Series 2025 bonds and prior bond issuances;</w:t>
      </w:r>
    </w:p>
    <w:p w14:paraId="0A0F14C1" w14:textId="77777777" w:rsidR="001E4CA0" w:rsidRPr="001E4CA0" w:rsidRDefault="001E4CA0" w:rsidP="000568A5">
      <w:pPr>
        <w:pStyle w:val="ListParagraph"/>
        <w:widowControl w:val="0"/>
        <w:numPr>
          <w:ilvl w:val="1"/>
          <w:numId w:val="1"/>
        </w:numPr>
        <w:tabs>
          <w:tab w:val="left" w:pos="1549"/>
          <w:tab w:val="left" w:pos="1551"/>
        </w:tabs>
        <w:autoSpaceDE w:val="0"/>
        <w:autoSpaceDN w:val="0"/>
        <w:spacing w:after="0" w:line="240" w:lineRule="auto"/>
        <w:contextualSpacing w:val="0"/>
        <w:jc w:val="both"/>
        <w:rPr>
          <w:rFonts w:ascii="Goudy Old Style" w:hAnsi="Goudy Old Style"/>
          <w:bCs/>
          <w:sz w:val="24"/>
          <w:szCs w:val="24"/>
        </w:rPr>
      </w:pPr>
      <w:r w:rsidRPr="001E4CA0">
        <w:rPr>
          <w:rFonts w:ascii="Goudy Old Style" w:hAnsi="Goudy Old Style"/>
          <w:bCs/>
          <w:sz w:val="24"/>
          <w:szCs w:val="24"/>
        </w:rPr>
        <w:t>Approval of Internal Revenue Service Form 8038-G;</w:t>
      </w:r>
    </w:p>
    <w:p w14:paraId="7F9BE2D6" w14:textId="77777777" w:rsidR="001E4CA0" w:rsidRPr="001E4CA0" w:rsidRDefault="001E4CA0" w:rsidP="000568A5">
      <w:pPr>
        <w:pStyle w:val="ListParagraph"/>
        <w:widowControl w:val="0"/>
        <w:numPr>
          <w:ilvl w:val="1"/>
          <w:numId w:val="1"/>
        </w:numPr>
        <w:tabs>
          <w:tab w:val="left" w:pos="1549"/>
          <w:tab w:val="left" w:pos="1551"/>
        </w:tabs>
        <w:autoSpaceDE w:val="0"/>
        <w:autoSpaceDN w:val="0"/>
        <w:spacing w:after="0" w:line="240" w:lineRule="auto"/>
        <w:contextualSpacing w:val="0"/>
        <w:jc w:val="both"/>
        <w:rPr>
          <w:rFonts w:ascii="Goudy Old Style" w:hAnsi="Goudy Old Style"/>
          <w:bCs/>
          <w:sz w:val="24"/>
          <w:szCs w:val="24"/>
        </w:rPr>
      </w:pPr>
      <w:r w:rsidRPr="001E4CA0">
        <w:rPr>
          <w:rFonts w:ascii="Goudy Old Style" w:hAnsi="Goudy Old Style"/>
          <w:bCs/>
          <w:sz w:val="24"/>
          <w:szCs w:val="24"/>
        </w:rPr>
        <w:t>Amendment to the District Information Form relative to the Bonds;</w:t>
      </w:r>
    </w:p>
    <w:p w14:paraId="5CB06D8D" w14:textId="67F7C1B5" w:rsidR="001E4CA0" w:rsidRPr="001E4CA0" w:rsidRDefault="001E4CA0" w:rsidP="000568A5">
      <w:pPr>
        <w:pStyle w:val="ListParagraph"/>
        <w:widowControl w:val="0"/>
        <w:numPr>
          <w:ilvl w:val="1"/>
          <w:numId w:val="1"/>
        </w:numPr>
        <w:tabs>
          <w:tab w:val="left" w:pos="1549"/>
          <w:tab w:val="left" w:pos="1551"/>
        </w:tabs>
        <w:autoSpaceDE w:val="0"/>
        <w:autoSpaceDN w:val="0"/>
        <w:spacing w:after="0" w:line="240" w:lineRule="auto"/>
        <w:contextualSpacing w:val="0"/>
        <w:jc w:val="both"/>
        <w:rPr>
          <w:rFonts w:ascii="Goudy Old Style" w:hAnsi="Goudy Old Style"/>
          <w:bCs/>
          <w:sz w:val="24"/>
          <w:szCs w:val="24"/>
        </w:rPr>
      </w:pPr>
      <w:r w:rsidRPr="001E4CA0">
        <w:rPr>
          <w:rFonts w:ascii="Goudy Old Style" w:hAnsi="Goudy Old Style"/>
          <w:bCs/>
          <w:sz w:val="24"/>
          <w:szCs w:val="24"/>
        </w:rPr>
        <w:t>Any other matters required for closing/post-issuance of the Bonds;</w:t>
      </w:r>
    </w:p>
    <w:p w14:paraId="74C61146" w14:textId="77777777" w:rsidR="00EB4798" w:rsidRPr="001E4CA0" w:rsidRDefault="00EB4798" w:rsidP="00060C26">
      <w:pPr>
        <w:pStyle w:val="ListParagraph"/>
        <w:numPr>
          <w:ilvl w:val="0"/>
          <w:numId w:val="1"/>
        </w:numPr>
        <w:spacing w:after="0" w:line="240" w:lineRule="auto"/>
        <w:jc w:val="both"/>
        <w:rPr>
          <w:rFonts w:ascii="Goudy Old Style" w:hAnsi="Goudy Old Style" w:cs="Times New Roman"/>
          <w:sz w:val="24"/>
          <w:szCs w:val="24"/>
        </w:rPr>
      </w:pPr>
      <w:r w:rsidRPr="001E4CA0">
        <w:rPr>
          <w:rFonts w:ascii="Goudy Old Style" w:hAnsi="Goudy Old Style" w:cs="Times New Roman"/>
          <w:sz w:val="24"/>
          <w:szCs w:val="24"/>
        </w:rPr>
        <w:t>ATTORNEY’S REPORT</w:t>
      </w:r>
    </w:p>
    <w:p w14:paraId="6D91A66F"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07AAE1D8"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41A6D623"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3871DF2C"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3A0AF42E" wp14:editId="057093F6">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038B6864"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163069CC"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5A5763B1"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65985A0F" w14:textId="77777777" w:rsidR="00B25BBA" w:rsidRPr="00DF1AE6" w:rsidRDefault="00B25BBA" w:rsidP="00B25BBA">
      <w:pPr>
        <w:pStyle w:val="ListParagraph"/>
        <w:spacing w:after="0" w:line="240" w:lineRule="auto"/>
        <w:rPr>
          <w:rFonts w:ascii="Goudy Old Style" w:hAnsi="Goudy Old Style" w:cs="Times New Roman"/>
        </w:rPr>
      </w:pPr>
    </w:p>
    <w:p w14:paraId="20C3ECB5"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175CADE1"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59874736"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35C3BE7B"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5217A0A1" w14:textId="77777777" w:rsidR="001E4CA0" w:rsidRDefault="001E4CA0" w:rsidP="001E4CA0">
      <w:pPr>
        <w:spacing w:after="0" w:line="240" w:lineRule="auto"/>
        <w:rPr>
          <w:rFonts w:ascii="Goudy Old Style" w:hAnsi="Goudy Old Style" w:cs="Times New Roman"/>
        </w:rPr>
      </w:pPr>
    </w:p>
    <w:p w14:paraId="4E2B1C0C" w14:textId="77777777" w:rsidR="001E4CA0" w:rsidRPr="005B5803" w:rsidRDefault="001E4CA0" w:rsidP="001E4CA0">
      <w:pPr>
        <w:rPr>
          <w:rFonts w:cs="Calibri Light"/>
          <w:b/>
          <w:bCs/>
          <w:i/>
          <w:iCs/>
          <w:sz w:val="20"/>
          <w:szCs w:val="20"/>
        </w:rPr>
      </w:pPr>
      <w:bookmarkStart w:id="0" w:name="_Hlk124147965"/>
      <w:r w:rsidRPr="005B5803">
        <w:rPr>
          <w:rFonts w:cs="Calibri Light"/>
          <w:b/>
          <w:bCs/>
          <w:i/>
          <w:iCs/>
          <w:sz w:val="20"/>
          <w:szCs w:val="20"/>
        </w:rPr>
        <w:t>In response to Senate Bill 554 of the 85</w:t>
      </w:r>
      <w:r w:rsidRPr="005B5803">
        <w:rPr>
          <w:rFonts w:cs="Calibri Light"/>
          <w:b/>
          <w:bCs/>
          <w:i/>
          <w:iCs/>
          <w:sz w:val="20"/>
          <w:szCs w:val="20"/>
          <w:vertAlign w:val="superscript"/>
        </w:rPr>
        <w:t>th</w:t>
      </w:r>
      <w:r w:rsidRPr="005B5803">
        <w:rPr>
          <w:rFonts w:cs="Calibri Light"/>
          <w:b/>
          <w:bCs/>
          <w:i/>
          <w:iCs/>
          <w:sz w:val="20"/>
          <w:szCs w:val="20"/>
        </w:rPr>
        <w:t xml:space="preserve"> Legislative Session, further amending Texas Water Code §49.063, the District is providing the following petition process description: After at least </w:t>
      </w:r>
      <w:r>
        <w:rPr>
          <w:rFonts w:cs="Calibri Light"/>
          <w:b/>
          <w:bCs/>
          <w:i/>
          <w:iCs/>
          <w:sz w:val="20"/>
          <w:szCs w:val="20"/>
        </w:rPr>
        <w:t>fifty</w:t>
      </w:r>
      <w:r w:rsidRPr="005B5803">
        <w:rPr>
          <w:rFonts w:cs="Calibri Light"/>
          <w:b/>
          <w:bCs/>
          <w:i/>
          <w:iCs/>
          <w:sz w:val="20"/>
          <w:szCs w:val="20"/>
        </w:rPr>
        <w:t xml:space="preserve"> (</w:t>
      </w:r>
      <w:r>
        <w:rPr>
          <w:rFonts w:cs="Calibri Light"/>
          <w:b/>
          <w:bCs/>
          <w:i/>
          <w:iCs/>
          <w:sz w:val="20"/>
          <w:szCs w:val="20"/>
        </w:rPr>
        <w:t>50</w:t>
      </w:r>
      <w:r w:rsidRPr="005B5803">
        <w:rPr>
          <w:rFonts w:cs="Calibri Light"/>
          <w:b/>
          <w:bCs/>
          <w:i/>
          <w:iCs/>
          <w:sz w:val="20"/>
          <w:szCs w:val="20"/>
        </w:rPr>
        <w:t xml:space="preserve">) qualified electors are </w:t>
      </w:r>
      <w:r w:rsidRPr="005B5803">
        <w:rPr>
          <w:rFonts w:cs="Calibri Light"/>
          <w:b/>
          <w:bCs/>
          <w:i/>
          <w:iCs/>
          <w:sz w:val="20"/>
          <w:szCs w:val="20"/>
        </w:rPr>
        <w:lastRenderedPageBreak/>
        <w:t>residing in a district, on written request of at least five (5) of those electors, the Board shall designate a meeting place and hold meetings within the District.</w:t>
      </w:r>
      <w:r>
        <w:rPr>
          <w:rFonts w:cs="Calibri Light"/>
          <w:b/>
          <w:bCs/>
          <w:i/>
          <w:iCs/>
          <w:sz w:val="20"/>
          <w:szCs w:val="20"/>
        </w:rPr>
        <w:t xml:space="preserve"> If no suitable meeting place exists inside the District, the Board may designate a meeting place that is located not further than 10 miles from the boundary of the District.</w:t>
      </w:r>
      <w:r w:rsidRPr="005B5803">
        <w:rPr>
          <w:rFonts w:cs="Calibri Light"/>
          <w:b/>
          <w:bCs/>
          <w:i/>
          <w:iCs/>
          <w:sz w:val="20"/>
          <w:szCs w:val="20"/>
        </w:rPr>
        <w:t xml:space="preserve"> On the failure</w:t>
      </w:r>
      <w:r>
        <w:rPr>
          <w:rFonts w:cs="Calibri Light"/>
          <w:b/>
          <w:bCs/>
          <w:i/>
          <w:iCs/>
          <w:sz w:val="20"/>
          <w:szCs w:val="20"/>
        </w:rPr>
        <w:t xml:space="preserve">, after a request is made under Texas Water Code </w:t>
      </w:r>
      <w:r w:rsidRPr="005B5803">
        <w:rPr>
          <w:rFonts w:cs="Calibri Light"/>
          <w:b/>
          <w:bCs/>
          <w:i/>
          <w:iCs/>
          <w:sz w:val="20"/>
          <w:szCs w:val="20"/>
        </w:rPr>
        <w:t>§</w:t>
      </w:r>
      <w:r>
        <w:rPr>
          <w:rFonts w:cs="Calibri Light"/>
          <w:b/>
          <w:bCs/>
          <w:i/>
          <w:iCs/>
          <w:sz w:val="20"/>
          <w:szCs w:val="20"/>
        </w:rPr>
        <w:t>49.062(c)</w:t>
      </w:r>
      <w:r w:rsidRPr="005B5803">
        <w:rPr>
          <w:rFonts w:cs="Calibri Light"/>
          <w:b/>
          <w:bCs/>
          <w:i/>
          <w:iCs/>
          <w:sz w:val="20"/>
          <w:szCs w:val="20"/>
        </w:rPr>
        <w:t>,</w:t>
      </w:r>
      <w:r>
        <w:rPr>
          <w:rFonts w:cs="Calibri Light"/>
          <w:b/>
          <w:bCs/>
          <w:i/>
          <w:iCs/>
          <w:sz w:val="20"/>
          <w:szCs w:val="20"/>
        </w:rPr>
        <w:t xml:space="preserve"> of the Board to designate the location of the meeting place within the District or not further than 10 miles from the boundary of the District, five (5) electors may petition the </w:t>
      </w:r>
    </w:p>
    <w:p w14:paraId="66DFD305" w14:textId="77777777" w:rsidR="001E4CA0" w:rsidRDefault="001E4CA0" w:rsidP="001E4CA0">
      <w:pPr>
        <w:rPr>
          <w:rFonts w:cs="Calibri Light"/>
          <w:b/>
          <w:bCs/>
          <w:i/>
          <w:iCs/>
          <w:sz w:val="20"/>
          <w:szCs w:val="20"/>
        </w:rPr>
      </w:pPr>
      <w:r w:rsidRPr="005B5803">
        <w:rPr>
          <w:rFonts w:cs="Calibri Light"/>
          <w:b/>
          <w:bCs/>
          <w:i/>
          <w:iCs/>
          <w:sz w:val="20"/>
          <w:szCs w:val="20"/>
        </w:rPr>
        <w:t xml:space="preserve">Texas Commission on Environmental Quality (“TCEQ”) to designate a location. If it determines that the meeting place used by the District deprives the residents of a reasonable opportunity to attend district meetings, the TCEQ </w:t>
      </w:r>
      <w:r>
        <w:rPr>
          <w:rFonts w:cs="Calibri Light"/>
          <w:b/>
          <w:bCs/>
          <w:i/>
          <w:iCs/>
          <w:sz w:val="20"/>
          <w:szCs w:val="20"/>
        </w:rPr>
        <w:t>shall</w:t>
      </w:r>
      <w:r w:rsidRPr="005B5803">
        <w:rPr>
          <w:rFonts w:cs="Calibri Light"/>
          <w:b/>
          <w:bCs/>
          <w:i/>
          <w:iCs/>
          <w:sz w:val="20"/>
          <w:szCs w:val="20"/>
        </w:rPr>
        <w:t xml:space="preserve"> designate a meeting place inside or outside the District which is reasonably available to the public and require that the meetings be held at such place. </w:t>
      </w:r>
      <w:bookmarkEnd w:id="0"/>
    </w:p>
    <w:p w14:paraId="33AF5EC7" w14:textId="77777777" w:rsidR="001E4CA0" w:rsidRDefault="001E4CA0" w:rsidP="001E4CA0">
      <w:pPr>
        <w:spacing w:before="1"/>
        <w:ind w:right="135"/>
        <w:jc w:val="both"/>
        <w:rPr>
          <w:i/>
          <w:sz w:val="18"/>
          <w:szCs w:val="18"/>
        </w:rPr>
      </w:pPr>
    </w:p>
    <w:p w14:paraId="3CD1DD59" w14:textId="77777777" w:rsidR="001E4CA0" w:rsidRDefault="001E4CA0" w:rsidP="001E4CA0">
      <w:pPr>
        <w:spacing w:after="0" w:line="240" w:lineRule="auto"/>
        <w:rPr>
          <w:rFonts w:ascii="Goudy Old Style" w:hAnsi="Goudy Old Style" w:cs="Times New Roman"/>
        </w:rPr>
      </w:pPr>
    </w:p>
    <w:p w14:paraId="145E10CA" w14:textId="77777777" w:rsidR="00FA03F6" w:rsidRDefault="00FA03F6" w:rsidP="00B25BBA">
      <w:pPr>
        <w:spacing w:after="0" w:line="240" w:lineRule="auto"/>
        <w:ind w:left="5040"/>
        <w:rPr>
          <w:rFonts w:ascii="Goudy Old Style" w:hAnsi="Goudy Old Style" w:cs="Times New Roman"/>
        </w:rPr>
      </w:pPr>
    </w:p>
    <w:p w14:paraId="77B6C75B"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8B786" w14:textId="77777777" w:rsidR="00E46205" w:rsidRDefault="00E46205" w:rsidP="00E70DBF">
      <w:pPr>
        <w:spacing w:after="0" w:line="240" w:lineRule="auto"/>
      </w:pPr>
      <w:r>
        <w:separator/>
      </w:r>
    </w:p>
  </w:endnote>
  <w:endnote w:type="continuationSeparator" w:id="0">
    <w:p w14:paraId="08783A21" w14:textId="77777777" w:rsidR="00E46205" w:rsidRDefault="00E46205"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ACDF" w14:textId="77777777" w:rsidR="00E46205" w:rsidRDefault="00E46205" w:rsidP="00E70DBF">
      <w:pPr>
        <w:spacing w:after="0" w:line="240" w:lineRule="auto"/>
      </w:pPr>
      <w:r>
        <w:separator/>
      </w:r>
    </w:p>
  </w:footnote>
  <w:footnote w:type="continuationSeparator" w:id="0">
    <w:p w14:paraId="2C974C63" w14:textId="77777777" w:rsidR="00E46205" w:rsidRDefault="00E46205"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FF17" w14:textId="77777777" w:rsidR="005726E1" w:rsidRDefault="00D07002" w:rsidP="00B11734">
    <w:pPr>
      <w:spacing w:after="0" w:line="240" w:lineRule="auto"/>
      <w:jc w:val="center"/>
      <w:rPr>
        <w:rFonts w:ascii="Times New Roman" w:hAnsi="Times New Roman" w:cs="Times New Roman"/>
      </w:rPr>
    </w:pPr>
    <w:bookmarkStart w:id="1" w:name="_Hlk120700289"/>
    <w:r>
      <w:rPr>
        <w:rFonts w:ascii="Times New Roman" w:hAnsi="Times New Roman" w:cs="Times New Roman"/>
      </w:rPr>
      <w:t>MONTGOMERY COUNTY FRESH WATER SUPPLY DISTRICT #6</w:t>
    </w:r>
    <w:bookmarkEnd w:id="1"/>
  </w:p>
  <w:p w14:paraId="7EE904B2" w14:textId="77777777" w:rsidR="005726E1"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F7790"/>
    <w:multiLevelType w:val="hybridMultilevel"/>
    <w:tmpl w:val="912CC4B6"/>
    <w:lvl w:ilvl="0" w:tplc="679E8110">
      <w:start w:val="1"/>
      <w:numFmt w:val="decimal"/>
      <w:lvlText w:val="%1)"/>
      <w:lvlJc w:val="left"/>
      <w:pPr>
        <w:ind w:left="360" w:hanging="360"/>
      </w:pPr>
      <w:rPr>
        <w:rFonts w:ascii="Goudy Old Style" w:eastAsia="Goudy Old Style" w:hAnsi="Goudy Old Style" w:cs="Goudy Old Style" w:hint="default"/>
        <w:b/>
        <w:bCs/>
        <w:i w:val="0"/>
        <w:iCs w:val="0"/>
        <w:spacing w:val="-1"/>
        <w:w w:val="100"/>
        <w:sz w:val="24"/>
        <w:szCs w:val="24"/>
        <w:lang w:val="en-US" w:eastAsia="en-US" w:bidi="ar-SA"/>
      </w:rPr>
    </w:lvl>
    <w:lvl w:ilvl="1" w:tplc="D826C5D6">
      <w:start w:val="1"/>
      <w:numFmt w:val="lowerLetter"/>
      <w:lvlText w:val="%2."/>
      <w:lvlJc w:val="left"/>
      <w:pPr>
        <w:ind w:left="1170" w:hanging="360"/>
      </w:pPr>
      <w:rPr>
        <w:rFonts w:ascii="Goudy Old Style" w:eastAsia="Goudy Old Style" w:hAnsi="Goudy Old Style" w:cs="Goudy Old Style" w:hint="default"/>
        <w:b/>
        <w:bCs/>
        <w:i w:val="0"/>
        <w:iCs w:val="0"/>
        <w:spacing w:val="0"/>
        <w:w w:val="100"/>
        <w:sz w:val="24"/>
        <w:szCs w:val="24"/>
        <w:lang w:val="en-US" w:eastAsia="en-US" w:bidi="ar-SA"/>
      </w:rPr>
    </w:lvl>
    <w:lvl w:ilvl="2" w:tplc="50AA14C4">
      <w:start w:val="1"/>
      <w:numFmt w:val="lowerRoman"/>
      <w:lvlText w:val="%3."/>
      <w:lvlJc w:val="left"/>
      <w:pPr>
        <w:ind w:left="1743" w:hanging="303"/>
        <w:jc w:val="right"/>
      </w:pPr>
      <w:rPr>
        <w:rFonts w:ascii="Goudy Old Style" w:eastAsia="Goudy Old Style" w:hAnsi="Goudy Old Style" w:cs="Goudy Old Style" w:hint="default"/>
        <w:b w:val="0"/>
        <w:bCs w:val="0"/>
        <w:i w:val="0"/>
        <w:iCs w:val="0"/>
        <w:spacing w:val="-1"/>
        <w:w w:val="100"/>
        <w:sz w:val="24"/>
        <w:szCs w:val="24"/>
        <w:lang w:val="en-US" w:eastAsia="en-US" w:bidi="ar-SA"/>
      </w:rPr>
    </w:lvl>
    <w:lvl w:ilvl="3" w:tplc="1B7CB772">
      <w:start w:val="1"/>
      <w:numFmt w:val="decimal"/>
      <w:lvlText w:val="%4."/>
      <w:lvlJc w:val="left"/>
      <w:pPr>
        <w:ind w:left="2609" w:hanging="360"/>
      </w:pPr>
      <w:rPr>
        <w:rFonts w:ascii="Goudy Old Style" w:eastAsia="Goudy Old Style" w:hAnsi="Goudy Old Style" w:cs="Goudy Old Style" w:hint="default"/>
        <w:b w:val="0"/>
        <w:bCs w:val="0"/>
        <w:i w:val="0"/>
        <w:iCs w:val="0"/>
        <w:spacing w:val="0"/>
        <w:w w:val="100"/>
        <w:sz w:val="24"/>
        <w:szCs w:val="24"/>
        <w:lang w:val="en-US" w:eastAsia="en-US" w:bidi="ar-SA"/>
      </w:rPr>
    </w:lvl>
    <w:lvl w:ilvl="4" w:tplc="3D3A3D0C">
      <w:numFmt w:val="bullet"/>
      <w:lvlText w:val="•"/>
      <w:lvlJc w:val="left"/>
      <w:pPr>
        <w:ind w:left="3554" w:hanging="360"/>
      </w:pPr>
      <w:rPr>
        <w:rFonts w:hint="default"/>
        <w:lang w:val="en-US" w:eastAsia="en-US" w:bidi="ar-SA"/>
      </w:rPr>
    </w:lvl>
    <w:lvl w:ilvl="5" w:tplc="46A80B5C">
      <w:numFmt w:val="bullet"/>
      <w:lvlText w:val="•"/>
      <w:lvlJc w:val="left"/>
      <w:pPr>
        <w:ind w:left="4500" w:hanging="360"/>
      </w:pPr>
      <w:rPr>
        <w:rFonts w:hint="default"/>
        <w:lang w:val="en-US" w:eastAsia="en-US" w:bidi="ar-SA"/>
      </w:rPr>
    </w:lvl>
    <w:lvl w:ilvl="6" w:tplc="073834B8">
      <w:numFmt w:val="bullet"/>
      <w:lvlText w:val="•"/>
      <w:lvlJc w:val="left"/>
      <w:pPr>
        <w:ind w:left="5446" w:hanging="360"/>
      </w:pPr>
      <w:rPr>
        <w:rFonts w:hint="default"/>
        <w:lang w:val="en-US" w:eastAsia="en-US" w:bidi="ar-SA"/>
      </w:rPr>
    </w:lvl>
    <w:lvl w:ilvl="7" w:tplc="F89C4582">
      <w:numFmt w:val="bullet"/>
      <w:lvlText w:val="•"/>
      <w:lvlJc w:val="left"/>
      <w:pPr>
        <w:ind w:left="6391" w:hanging="360"/>
      </w:pPr>
      <w:rPr>
        <w:rFonts w:hint="default"/>
        <w:lang w:val="en-US" w:eastAsia="en-US" w:bidi="ar-SA"/>
      </w:rPr>
    </w:lvl>
    <w:lvl w:ilvl="8" w:tplc="E568774A">
      <w:numFmt w:val="bullet"/>
      <w:lvlText w:val="•"/>
      <w:lvlJc w:val="left"/>
      <w:pPr>
        <w:ind w:left="7337" w:hanging="360"/>
      </w:pPr>
      <w:rPr>
        <w:rFonts w:hint="default"/>
        <w:lang w:val="en-US" w:eastAsia="en-US" w:bidi="ar-SA"/>
      </w:rPr>
    </w:lvl>
  </w:abstractNum>
  <w:abstractNum w:abstractNumId="4" w15:restartNumberingAfterBreak="0">
    <w:nsid w:val="3BB846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370317">
    <w:abstractNumId w:val="4"/>
  </w:num>
  <w:num w:numId="2" w16cid:durableId="1019282540">
    <w:abstractNumId w:val="2"/>
  </w:num>
  <w:num w:numId="3" w16cid:durableId="822307962">
    <w:abstractNumId w:val="0"/>
  </w:num>
  <w:num w:numId="4" w16cid:durableId="814876041">
    <w:abstractNumId w:val="6"/>
  </w:num>
  <w:num w:numId="5" w16cid:durableId="666130068">
    <w:abstractNumId w:val="5"/>
  </w:num>
  <w:num w:numId="6" w16cid:durableId="820000966">
    <w:abstractNumId w:val="1"/>
  </w:num>
  <w:num w:numId="7" w16cid:durableId="55471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568A5"/>
    <w:rsid w:val="00060C26"/>
    <w:rsid w:val="00061704"/>
    <w:rsid w:val="00077887"/>
    <w:rsid w:val="000827F4"/>
    <w:rsid w:val="000D6440"/>
    <w:rsid w:val="00100010"/>
    <w:rsid w:val="00113EA8"/>
    <w:rsid w:val="00136BF8"/>
    <w:rsid w:val="00151656"/>
    <w:rsid w:val="0016342D"/>
    <w:rsid w:val="00163544"/>
    <w:rsid w:val="00183934"/>
    <w:rsid w:val="001C0959"/>
    <w:rsid w:val="001E4CA0"/>
    <w:rsid w:val="002278E7"/>
    <w:rsid w:val="002452A8"/>
    <w:rsid w:val="0025450D"/>
    <w:rsid w:val="00254A79"/>
    <w:rsid w:val="002667BC"/>
    <w:rsid w:val="00286FBB"/>
    <w:rsid w:val="0029031A"/>
    <w:rsid w:val="00290C35"/>
    <w:rsid w:val="002950AB"/>
    <w:rsid w:val="002A754B"/>
    <w:rsid w:val="002E1F95"/>
    <w:rsid w:val="003224B9"/>
    <w:rsid w:val="00335141"/>
    <w:rsid w:val="00335F7B"/>
    <w:rsid w:val="00344808"/>
    <w:rsid w:val="00345A5C"/>
    <w:rsid w:val="003A4237"/>
    <w:rsid w:val="003C5055"/>
    <w:rsid w:val="003E5C56"/>
    <w:rsid w:val="003F3DEA"/>
    <w:rsid w:val="00444E69"/>
    <w:rsid w:val="004604C6"/>
    <w:rsid w:val="00461832"/>
    <w:rsid w:val="00477F9B"/>
    <w:rsid w:val="00481B8D"/>
    <w:rsid w:val="00487CF2"/>
    <w:rsid w:val="004C77BD"/>
    <w:rsid w:val="004D20F9"/>
    <w:rsid w:val="0054361C"/>
    <w:rsid w:val="0056039C"/>
    <w:rsid w:val="005726E1"/>
    <w:rsid w:val="005A1645"/>
    <w:rsid w:val="005C34A2"/>
    <w:rsid w:val="005C406E"/>
    <w:rsid w:val="00691C94"/>
    <w:rsid w:val="00706865"/>
    <w:rsid w:val="007172E0"/>
    <w:rsid w:val="00756910"/>
    <w:rsid w:val="007763C1"/>
    <w:rsid w:val="007A5373"/>
    <w:rsid w:val="007A7D7A"/>
    <w:rsid w:val="007B20BE"/>
    <w:rsid w:val="007C1354"/>
    <w:rsid w:val="007D6553"/>
    <w:rsid w:val="007F2424"/>
    <w:rsid w:val="00832B4B"/>
    <w:rsid w:val="00891577"/>
    <w:rsid w:val="008D2A5F"/>
    <w:rsid w:val="009171E5"/>
    <w:rsid w:val="00961BC0"/>
    <w:rsid w:val="009A54B1"/>
    <w:rsid w:val="009B2CF8"/>
    <w:rsid w:val="009D1073"/>
    <w:rsid w:val="009D5914"/>
    <w:rsid w:val="009F4D33"/>
    <w:rsid w:val="00A05A29"/>
    <w:rsid w:val="00A07FE4"/>
    <w:rsid w:val="00A15075"/>
    <w:rsid w:val="00A227DB"/>
    <w:rsid w:val="00AD4335"/>
    <w:rsid w:val="00AF261D"/>
    <w:rsid w:val="00AF7301"/>
    <w:rsid w:val="00B16E58"/>
    <w:rsid w:val="00B25BBA"/>
    <w:rsid w:val="00B66D95"/>
    <w:rsid w:val="00BA29B1"/>
    <w:rsid w:val="00BA7A29"/>
    <w:rsid w:val="00BB77C1"/>
    <w:rsid w:val="00BD4570"/>
    <w:rsid w:val="00BE43FA"/>
    <w:rsid w:val="00BF75FD"/>
    <w:rsid w:val="00C8742A"/>
    <w:rsid w:val="00CA08C8"/>
    <w:rsid w:val="00CA228A"/>
    <w:rsid w:val="00CB3D51"/>
    <w:rsid w:val="00D03111"/>
    <w:rsid w:val="00D06FCF"/>
    <w:rsid w:val="00D07002"/>
    <w:rsid w:val="00D11637"/>
    <w:rsid w:val="00D127E4"/>
    <w:rsid w:val="00D12874"/>
    <w:rsid w:val="00D625A9"/>
    <w:rsid w:val="00DD24CA"/>
    <w:rsid w:val="00DD5138"/>
    <w:rsid w:val="00DF1AE6"/>
    <w:rsid w:val="00E43C48"/>
    <w:rsid w:val="00E46205"/>
    <w:rsid w:val="00E56482"/>
    <w:rsid w:val="00E70DBF"/>
    <w:rsid w:val="00E96E4C"/>
    <w:rsid w:val="00EB4798"/>
    <w:rsid w:val="00F37F49"/>
    <w:rsid w:val="00F42A21"/>
    <w:rsid w:val="00F46EBD"/>
    <w:rsid w:val="00F64FC4"/>
    <w:rsid w:val="00F83BA3"/>
    <w:rsid w:val="00F83C83"/>
    <w:rsid w:val="00F844D9"/>
    <w:rsid w:val="00F9700D"/>
    <w:rsid w:val="00FA03F6"/>
    <w:rsid w:val="00FB1CB4"/>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9151"/>
  <w15:docId w15:val="{A65A3BD9-D120-42C3-8146-BCC4C926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2746</Characters>
  <Application>Microsoft Office Word</Application>
  <DocSecurity>0</DocSecurity>
  <Lines>105</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6</cp:revision>
  <cp:lastPrinted>2023-05-10T15:57:00Z</cp:lastPrinted>
  <dcterms:created xsi:type="dcterms:W3CDTF">2025-01-08T18:37:00Z</dcterms:created>
  <dcterms:modified xsi:type="dcterms:W3CDTF">2025-01-08T19:05:00Z</dcterms:modified>
</cp:coreProperties>
</file>